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727" w:rsidRPr="00055013" w:rsidRDefault="00D74727" w:rsidP="00D74727">
      <w:pPr>
        <w:jc w:val="right"/>
        <w:rPr>
          <w:rFonts w:ascii="Sylfaen" w:hAnsi="Sylfaen" w:cs="Sylfaen"/>
          <w:b/>
          <w:i/>
          <w:u w:val="single"/>
          <w:lang w:val="ka-GE"/>
        </w:rPr>
      </w:pPr>
      <w:bookmarkStart w:id="0" w:name="_GoBack"/>
      <w:r w:rsidRPr="00055013">
        <w:rPr>
          <w:rFonts w:ascii="Sylfaen" w:hAnsi="Sylfaen" w:cs="Sylfaen"/>
          <w:b/>
          <w:i/>
          <w:u w:val="single"/>
          <w:lang w:val="ka-GE"/>
        </w:rPr>
        <w:t>პროექტი</w:t>
      </w:r>
    </w:p>
    <w:p w:rsidR="00D74727" w:rsidRPr="00055013" w:rsidRDefault="00D74727" w:rsidP="00D74727">
      <w:pPr>
        <w:jc w:val="center"/>
        <w:rPr>
          <w:rFonts w:ascii="Sylfaen" w:hAnsi="Sylfaen" w:cs="Sylfaen"/>
          <w:b/>
          <w:lang w:val="ka-GE"/>
        </w:rPr>
      </w:pPr>
      <w:r w:rsidRPr="00055013">
        <w:rPr>
          <w:rFonts w:ascii="Sylfaen" w:hAnsi="Sylfaen" w:cs="Sylfaen"/>
          <w:b/>
          <w:lang w:val="ka-GE"/>
        </w:rPr>
        <w:t>საქართველოს</w:t>
      </w:r>
      <w:r w:rsidRPr="00055013">
        <w:rPr>
          <w:rFonts w:ascii="Sylfaen" w:hAnsi="Sylfaen"/>
          <w:b/>
          <w:lang w:val="ka-GE"/>
        </w:rPr>
        <w:t> </w:t>
      </w:r>
      <w:r w:rsidRPr="00055013">
        <w:rPr>
          <w:rFonts w:ascii="Sylfaen" w:hAnsi="Sylfaen" w:cs="Sylfaen"/>
          <w:b/>
          <w:lang w:val="ka-GE"/>
        </w:rPr>
        <w:t>მთავრობის</w:t>
      </w:r>
      <w:r w:rsidRPr="00055013">
        <w:rPr>
          <w:rFonts w:ascii="Sylfaen" w:hAnsi="Sylfaen"/>
          <w:b/>
          <w:lang w:val="ka-GE"/>
        </w:rPr>
        <w:t xml:space="preserve"> </w:t>
      </w:r>
      <w:r w:rsidRPr="00055013">
        <w:rPr>
          <w:rFonts w:ascii="Sylfaen" w:hAnsi="Sylfaen" w:cs="Sylfaen"/>
          <w:b/>
          <w:lang w:val="ka-GE"/>
        </w:rPr>
        <w:t>დადგენილება</w:t>
      </w:r>
    </w:p>
    <w:p w:rsidR="00D74727" w:rsidRPr="00055013" w:rsidRDefault="00D74727" w:rsidP="00D74727">
      <w:pPr>
        <w:jc w:val="center"/>
        <w:rPr>
          <w:rFonts w:ascii="Sylfaen" w:hAnsi="Sylfaen"/>
          <w:b/>
          <w:lang w:val="ka-GE"/>
        </w:rPr>
      </w:pPr>
      <w:r w:rsidRPr="00055013">
        <w:rPr>
          <w:rFonts w:ascii="Sylfaen" w:hAnsi="Sylfaen"/>
          <w:b/>
          <w:lang w:val="ka-GE"/>
        </w:rPr>
        <w:t> </w:t>
      </w:r>
      <w:r w:rsidRPr="00055013">
        <w:rPr>
          <w:rFonts w:ascii="Sylfaen" w:hAnsi="Sylfaen" w:cs="Times New Roman"/>
          <w:b/>
          <w:lang w:val="ka-GE"/>
        </w:rPr>
        <w:t>№</w:t>
      </w:r>
      <w:r w:rsidRPr="00055013">
        <w:rPr>
          <w:rFonts w:ascii="Sylfaen" w:hAnsi="Sylfaen"/>
          <w:b/>
          <w:lang w:val="ka-GE"/>
        </w:rPr>
        <w:t>---- </w:t>
      </w:r>
    </w:p>
    <w:p w:rsidR="00D74727" w:rsidRPr="00055013" w:rsidRDefault="00D74727" w:rsidP="00D74727">
      <w:pPr>
        <w:jc w:val="center"/>
        <w:rPr>
          <w:rFonts w:ascii="Sylfaen" w:hAnsi="Sylfaen"/>
          <w:b/>
          <w:lang w:val="ka-GE"/>
        </w:rPr>
      </w:pPr>
      <w:r w:rsidRPr="00055013">
        <w:rPr>
          <w:rFonts w:ascii="Sylfaen" w:hAnsi="Sylfaen" w:cs="Sylfaen"/>
          <w:b/>
          <w:lang w:val="ka-GE"/>
        </w:rPr>
        <w:t>2022 წლის</w:t>
      </w:r>
      <w:r w:rsidRPr="00055013">
        <w:rPr>
          <w:rFonts w:ascii="Sylfaen" w:hAnsi="Sylfaen"/>
          <w:b/>
          <w:lang w:val="ka-GE"/>
        </w:rPr>
        <w:t> </w:t>
      </w:r>
      <w:r w:rsidRPr="00055013">
        <w:rPr>
          <w:rFonts w:ascii="Sylfaen" w:hAnsi="Sylfaen" w:cs="Sylfaen"/>
          <w:b/>
          <w:lang w:val="ka-GE"/>
        </w:rPr>
        <w:t>------</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sz w:val="22"/>
          <w:szCs w:val="22"/>
          <w:lang w:val="ka-GE"/>
        </w:rPr>
      </w:pPr>
      <w:r w:rsidRPr="00055013">
        <w:rPr>
          <w:rFonts w:ascii="Sylfaen" w:hAnsi="Sylfaen" w:cs="Sylfaen"/>
          <w:b/>
          <w:sz w:val="22"/>
          <w:szCs w:val="22"/>
          <w:lang w:val="ka-GE"/>
        </w:rPr>
        <w:t>ქ. თბილისი</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sz w:val="22"/>
          <w:szCs w:val="22"/>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Geo ABC"/>
          <w:b/>
          <w:bCs/>
          <w:sz w:val="22"/>
          <w:szCs w:val="22"/>
          <w:lang w:val="ka-GE"/>
        </w:rPr>
      </w:pPr>
      <w:r w:rsidRPr="00055013">
        <w:rPr>
          <w:rFonts w:ascii="Sylfaen" w:hAnsi="Sylfaen" w:cs="Sylfaen"/>
          <w:b/>
          <w:sz w:val="22"/>
          <w:szCs w:val="22"/>
          <w:lang w:val="ka-GE"/>
        </w:rPr>
        <w:t>საქართველოს განათლებისა და მეცნიერების ერთიანი ეროვნული სტრატეგიის 2022-2030 და მისი 2022-2024 წლების სამოქმედო გეგმის დამტკიცების შესახებ</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Geo ABC"/>
          <w:b/>
          <w:bCs/>
          <w:sz w:val="22"/>
          <w:szCs w:val="22"/>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Geo ABC"/>
          <w:b/>
          <w:bCs/>
          <w:sz w:val="22"/>
          <w:szCs w:val="22"/>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Geo ABC"/>
          <w:b/>
          <w:bCs/>
          <w:sz w:val="22"/>
          <w:szCs w:val="22"/>
          <w:lang w:val="ka-GE"/>
        </w:rPr>
      </w:pPr>
      <w:r w:rsidRPr="00055013">
        <w:rPr>
          <w:rFonts w:ascii="Sylfaen" w:hAnsi="Sylfaen" w:cs="Sylfaen"/>
          <w:b/>
          <w:bCs/>
          <w:sz w:val="22"/>
          <w:szCs w:val="22"/>
          <w:lang w:val="ka-GE"/>
        </w:rPr>
        <w:t>მუხლი</w:t>
      </w:r>
      <w:r w:rsidRPr="00055013">
        <w:rPr>
          <w:rFonts w:ascii="Sylfaen" w:hAnsi="Sylfaen" w:cs="Geo ABC"/>
          <w:b/>
          <w:bCs/>
          <w:sz w:val="22"/>
          <w:szCs w:val="22"/>
          <w:lang w:val="ka-GE"/>
        </w:rPr>
        <w:t xml:space="preserve"> 1. </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Geo ABC"/>
          <w:b/>
          <w:bCs/>
          <w:sz w:val="22"/>
          <w:szCs w:val="22"/>
          <w:lang w:val="ka-GE"/>
        </w:rPr>
      </w:pPr>
    </w:p>
    <w:tbl>
      <w:tblPr>
        <w:tblW w:w="5000" w:type="pct"/>
        <w:tblCellSpacing w:w="15" w:type="dxa"/>
        <w:tblLook w:val="04A0" w:firstRow="1" w:lastRow="0" w:firstColumn="1" w:lastColumn="0" w:noHBand="0" w:noVBand="1"/>
      </w:tblPr>
      <w:tblGrid>
        <w:gridCol w:w="9360"/>
      </w:tblGrid>
      <w:tr w:rsidR="00D74727" w:rsidRPr="00055013" w:rsidTr="00D74727">
        <w:trPr>
          <w:tblCellSpacing w:w="15" w:type="dxa"/>
        </w:trPr>
        <w:tc>
          <w:tcPr>
            <w:tcW w:w="0" w:type="auto"/>
            <w:tcMar>
              <w:top w:w="15" w:type="dxa"/>
              <w:left w:w="15" w:type="dxa"/>
              <w:bottom w:w="15" w:type="dxa"/>
              <w:right w:w="15" w:type="dxa"/>
            </w:tcMar>
            <w:vAlign w:val="center"/>
            <w:hideMark/>
          </w:tcPr>
          <w:p w:rsidR="00D74727" w:rsidRPr="00055013" w:rsidRDefault="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Geo ABC"/>
                <w:bCs/>
                <w:sz w:val="22"/>
                <w:szCs w:val="22"/>
                <w:lang w:val="ka-GE"/>
              </w:rPr>
            </w:pPr>
            <w:r w:rsidRPr="00055013">
              <w:rPr>
                <w:rFonts w:ascii="Sylfaen" w:eastAsia="Times New Roman" w:hAnsi="Sylfaen"/>
                <w:sz w:val="22"/>
                <w:szCs w:val="22"/>
                <w:lang w:val="ka-GE"/>
              </w:rPr>
              <w:t>„</w:t>
            </w:r>
            <w:r w:rsidRPr="00055013">
              <w:rPr>
                <w:rFonts w:ascii="Sylfaen" w:eastAsia="Times New Roman" w:hAnsi="Sylfaen" w:cs="Sylfaen"/>
                <w:sz w:val="22"/>
                <w:szCs w:val="22"/>
                <w:lang w:val="ka-GE"/>
              </w:rPr>
              <w:t>საქართველოს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მთავრობის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სტრუქტურის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უფლებამოსილებისა</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და</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საქმიანობის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წესის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შესახებ</w:t>
            </w:r>
            <w:r w:rsidRPr="00055013">
              <w:rPr>
                <w:rFonts w:ascii="Sylfaen" w:eastAsia="Times New Roman" w:hAnsi="Sylfaen" w:cs="Times New Roman"/>
                <w:sz w:val="22"/>
                <w:szCs w:val="22"/>
                <w:lang w:val="ka-GE"/>
              </w:rPr>
              <w:t>“</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საქართველოს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კანონის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მე</w:t>
            </w:r>
            <w:r w:rsidRPr="00055013">
              <w:rPr>
                <w:rFonts w:ascii="Sylfaen" w:eastAsia="Times New Roman" w:hAnsi="Sylfaen"/>
                <w:sz w:val="22"/>
                <w:szCs w:val="22"/>
                <w:lang w:val="ka-GE"/>
              </w:rPr>
              <w:t xml:space="preserve">-5 </w:t>
            </w:r>
            <w:r w:rsidRPr="00055013">
              <w:rPr>
                <w:rFonts w:ascii="Sylfaen" w:eastAsia="Times New Roman" w:hAnsi="Sylfaen" w:cs="Sylfaen"/>
                <w:sz w:val="22"/>
                <w:szCs w:val="22"/>
                <w:lang w:val="ka-GE"/>
              </w:rPr>
              <w:t>მუხლის</w:t>
            </w:r>
            <w:r w:rsidRPr="00055013">
              <w:rPr>
                <w:rFonts w:ascii="Sylfaen" w:eastAsia="Times New Roman" w:hAnsi="Sylfaen"/>
                <w:sz w:val="22"/>
                <w:szCs w:val="22"/>
                <w:lang w:val="ka-GE"/>
              </w:rPr>
              <w:t xml:space="preserve"> </w:t>
            </w:r>
            <w:r w:rsidRPr="00055013">
              <w:rPr>
                <w:rFonts w:ascii="Sylfaen" w:eastAsia="Times New Roman" w:hAnsi="Sylfaen" w:cs="Times New Roman"/>
                <w:sz w:val="22"/>
                <w:szCs w:val="22"/>
                <w:lang w:val="ka-GE"/>
              </w:rPr>
              <w:t>„</w:t>
            </w:r>
            <w:r w:rsidRPr="00055013">
              <w:rPr>
                <w:rFonts w:ascii="Sylfaen" w:eastAsia="Times New Roman" w:hAnsi="Sylfaen" w:cs="Sylfaen"/>
                <w:sz w:val="22"/>
                <w:szCs w:val="22"/>
                <w:lang w:val="ka-GE"/>
              </w:rPr>
              <w:t>რ</w:t>
            </w:r>
            <w:r w:rsidRPr="00055013">
              <w:rPr>
                <w:rFonts w:ascii="Sylfaen" w:eastAsia="Times New Roman" w:hAnsi="Sylfaen" w:cs="Times New Roman"/>
                <w:sz w:val="22"/>
                <w:szCs w:val="22"/>
                <w:lang w:val="ka-GE"/>
              </w:rPr>
              <w:t>“</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ქვეპუნქტისა</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და</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მე</w:t>
            </w:r>
            <w:r w:rsidRPr="00055013">
              <w:rPr>
                <w:rFonts w:ascii="Sylfaen" w:eastAsia="Times New Roman" w:hAnsi="Sylfaen"/>
                <w:sz w:val="22"/>
                <w:szCs w:val="22"/>
                <w:lang w:val="ka-GE"/>
              </w:rPr>
              <w:t xml:space="preserve">-6 </w:t>
            </w:r>
            <w:r w:rsidRPr="00055013">
              <w:rPr>
                <w:rFonts w:ascii="Sylfaen" w:eastAsia="Times New Roman" w:hAnsi="Sylfaen" w:cs="Sylfaen"/>
                <w:sz w:val="22"/>
                <w:szCs w:val="22"/>
                <w:lang w:val="ka-GE"/>
              </w:rPr>
              <w:t>მუხლის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პირველი</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პუნქტის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საფუძველზე</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და</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საქართველოს</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მთავრობის</w:t>
            </w:r>
            <w:r w:rsidRPr="00055013">
              <w:rPr>
                <w:rFonts w:ascii="Sylfaen" w:eastAsia="Times New Roman" w:hAnsi="Sylfaen"/>
                <w:sz w:val="22"/>
                <w:szCs w:val="22"/>
                <w:lang w:val="ka-GE"/>
              </w:rPr>
              <w:t xml:space="preserve"> 2019 </w:t>
            </w:r>
            <w:r w:rsidRPr="00055013">
              <w:rPr>
                <w:rFonts w:ascii="Sylfaen" w:eastAsia="Times New Roman" w:hAnsi="Sylfaen" w:cs="Sylfaen"/>
                <w:sz w:val="22"/>
                <w:szCs w:val="22"/>
                <w:lang w:val="ka-GE"/>
              </w:rPr>
              <w:t>წლის</w:t>
            </w:r>
            <w:r w:rsidRPr="00055013">
              <w:rPr>
                <w:rFonts w:ascii="Sylfaen" w:eastAsia="Times New Roman" w:hAnsi="Sylfaen"/>
                <w:sz w:val="22"/>
                <w:szCs w:val="22"/>
                <w:lang w:val="ka-GE"/>
              </w:rPr>
              <w:t xml:space="preserve"> 20 დეკემბრის </w:t>
            </w:r>
            <w:r w:rsidRPr="00055013">
              <w:rPr>
                <w:rFonts w:ascii="Sylfaen" w:eastAsia="Times New Roman" w:hAnsi="Sylfaen" w:cs="Times New Roman"/>
                <w:sz w:val="22"/>
                <w:szCs w:val="22"/>
                <w:lang w:val="ka-GE"/>
              </w:rPr>
              <w:t>№629</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დადგენილებით</w:t>
            </w:r>
            <w:r w:rsidRPr="00055013">
              <w:rPr>
                <w:rFonts w:ascii="Sylfaen" w:eastAsia="Times New Roman" w:hAnsi="Sylfaen"/>
                <w:sz w:val="22"/>
                <w:szCs w:val="22"/>
                <w:lang w:val="ka-GE"/>
              </w:rPr>
              <w:t xml:space="preserve"> </w:t>
            </w:r>
            <w:r w:rsidRPr="00055013">
              <w:rPr>
                <w:rFonts w:ascii="Sylfaen" w:eastAsia="Times New Roman" w:hAnsi="Sylfaen" w:cs="Sylfaen"/>
                <w:sz w:val="22"/>
                <w:szCs w:val="22"/>
                <w:lang w:val="ka-GE"/>
              </w:rPr>
              <w:t>დამტკიცებული</w:t>
            </w:r>
            <w:r w:rsidRPr="00055013">
              <w:rPr>
                <w:rFonts w:ascii="Sylfaen" w:eastAsia="Times New Roman" w:hAnsi="Sylfaen"/>
                <w:sz w:val="22"/>
                <w:szCs w:val="22"/>
                <w:lang w:val="ka-GE"/>
              </w:rPr>
              <w:t xml:space="preserve"> </w:t>
            </w:r>
            <w:r w:rsidRPr="00055013">
              <w:rPr>
                <w:rFonts w:ascii="Sylfaen" w:hAnsi="Sylfaen"/>
                <w:color w:val="000000"/>
                <w:sz w:val="22"/>
                <w:szCs w:val="22"/>
                <w:shd w:val="clear" w:color="auto" w:fill="FFFFFF"/>
                <w:lang w:val="ka-GE"/>
              </w:rPr>
              <w:t>„</w:t>
            </w:r>
            <w:r w:rsidRPr="00055013">
              <w:rPr>
                <w:rFonts w:ascii="Sylfaen" w:hAnsi="Sylfaen" w:cs="Sylfaen"/>
                <w:color w:val="000000"/>
                <w:sz w:val="22"/>
                <w:szCs w:val="22"/>
                <w:shd w:val="clear" w:color="auto" w:fill="FFFFFF"/>
                <w:lang w:val="ka-GE"/>
              </w:rPr>
              <w:t>პოლიტიკის</w:t>
            </w:r>
            <w:r w:rsidRPr="00055013">
              <w:rPr>
                <w:rFonts w:ascii="Sylfaen" w:hAnsi="Sylfaen"/>
                <w:color w:val="000000"/>
                <w:sz w:val="22"/>
                <w:szCs w:val="22"/>
                <w:shd w:val="clear" w:color="auto" w:fill="FFFFFF"/>
                <w:lang w:val="ka-GE"/>
              </w:rPr>
              <w:t xml:space="preserve"> </w:t>
            </w:r>
            <w:r w:rsidRPr="00055013">
              <w:rPr>
                <w:rFonts w:ascii="Sylfaen" w:hAnsi="Sylfaen" w:cs="Sylfaen"/>
                <w:color w:val="000000"/>
                <w:sz w:val="22"/>
                <w:szCs w:val="22"/>
                <w:shd w:val="clear" w:color="auto" w:fill="FFFFFF"/>
                <w:lang w:val="ka-GE"/>
              </w:rPr>
              <w:t>დოკუმენტების</w:t>
            </w:r>
            <w:r w:rsidRPr="00055013">
              <w:rPr>
                <w:rFonts w:ascii="Sylfaen" w:hAnsi="Sylfaen"/>
                <w:color w:val="000000"/>
                <w:sz w:val="22"/>
                <w:szCs w:val="22"/>
                <w:shd w:val="clear" w:color="auto" w:fill="FFFFFF"/>
                <w:lang w:val="ka-GE"/>
              </w:rPr>
              <w:t xml:space="preserve"> </w:t>
            </w:r>
            <w:r w:rsidRPr="00055013">
              <w:rPr>
                <w:rFonts w:ascii="Sylfaen" w:hAnsi="Sylfaen" w:cs="Sylfaen"/>
                <w:color w:val="000000"/>
                <w:sz w:val="22"/>
                <w:szCs w:val="22"/>
                <w:shd w:val="clear" w:color="auto" w:fill="FFFFFF"/>
                <w:lang w:val="ka-GE"/>
              </w:rPr>
              <w:t>შემუშავების</w:t>
            </w:r>
            <w:r w:rsidRPr="00055013">
              <w:rPr>
                <w:rFonts w:ascii="Sylfaen" w:hAnsi="Sylfaen"/>
                <w:color w:val="000000"/>
                <w:sz w:val="22"/>
                <w:szCs w:val="22"/>
                <w:shd w:val="clear" w:color="auto" w:fill="FFFFFF"/>
                <w:lang w:val="ka-GE"/>
              </w:rPr>
              <w:t xml:space="preserve">, </w:t>
            </w:r>
            <w:r w:rsidRPr="00055013">
              <w:rPr>
                <w:rFonts w:ascii="Sylfaen" w:hAnsi="Sylfaen" w:cs="Sylfaen"/>
                <w:color w:val="000000"/>
                <w:sz w:val="22"/>
                <w:szCs w:val="22"/>
                <w:shd w:val="clear" w:color="auto" w:fill="FFFFFF"/>
                <w:lang w:val="ka-GE"/>
              </w:rPr>
              <w:t>მონიტორინგისა</w:t>
            </w:r>
            <w:r w:rsidRPr="00055013">
              <w:rPr>
                <w:rFonts w:ascii="Sylfaen" w:hAnsi="Sylfaen"/>
                <w:color w:val="000000"/>
                <w:sz w:val="22"/>
                <w:szCs w:val="22"/>
                <w:shd w:val="clear" w:color="auto" w:fill="FFFFFF"/>
                <w:lang w:val="ka-GE"/>
              </w:rPr>
              <w:t xml:space="preserve"> </w:t>
            </w:r>
            <w:r w:rsidRPr="00055013">
              <w:rPr>
                <w:rFonts w:ascii="Sylfaen" w:hAnsi="Sylfaen" w:cs="Sylfaen"/>
                <w:color w:val="000000"/>
                <w:sz w:val="22"/>
                <w:szCs w:val="22"/>
                <w:shd w:val="clear" w:color="auto" w:fill="FFFFFF"/>
                <w:lang w:val="ka-GE"/>
              </w:rPr>
              <w:t>და</w:t>
            </w:r>
            <w:r w:rsidRPr="00055013">
              <w:rPr>
                <w:rFonts w:ascii="Sylfaen" w:hAnsi="Sylfaen"/>
                <w:color w:val="000000"/>
                <w:sz w:val="22"/>
                <w:szCs w:val="22"/>
                <w:shd w:val="clear" w:color="auto" w:fill="FFFFFF"/>
                <w:lang w:val="ka-GE"/>
              </w:rPr>
              <w:t xml:space="preserve"> </w:t>
            </w:r>
            <w:r w:rsidRPr="00055013">
              <w:rPr>
                <w:rFonts w:ascii="Sylfaen" w:hAnsi="Sylfaen" w:cs="Sylfaen"/>
                <w:color w:val="000000"/>
                <w:sz w:val="22"/>
                <w:szCs w:val="22"/>
                <w:shd w:val="clear" w:color="auto" w:fill="FFFFFF"/>
                <w:lang w:val="ka-GE"/>
              </w:rPr>
              <w:t>შეფასების</w:t>
            </w:r>
            <w:r w:rsidRPr="00055013">
              <w:rPr>
                <w:rFonts w:ascii="Sylfaen" w:hAnsi="Sylfaen"/>
                <w:color w:val="000000"/>
                <w:sz w:val="22"/>
                <w:szCs w:val="22"/>
                <w:shd w:val="clear" w:color="auto" w:fill="FFFFFF"/>
                <w:lang w:val="ka-GE"/>
              </w:rPr>
              <w:t xml:space="preserve"> </w:t>
            </w:r>
            <w:r w:rsidRPr="00055013">
              <w:rPr>
                <w:rFonts w:ascii="Sylfaen" w:hAnsi="Sylfaen" w:cs="Sylfaen"/>
                <w:color w:val="000000"/>
                <w:sz w:val="22"/>
                <w:szCs w:val="22"/>
                <w:shd w:val="clear" w:color="auto" w:fill="FFFFFF"/>
                <w:lang w:val="ka-GE"/>
              </w:rPr>
              <w:t>წესი</w:t>
            </w:r>
            <w:r w:rsidRPr="00055013">
              <w:rPr>
                <w:rFonts w:ascii="Sylfaen" w:hAnsi="Sylfaen"/>
                <w:color w:val="000000"/>
                <w:sz w:val="22"/>
                <w:szCs w:val="22"/>
                <w:shd w:val="clear" w:color="auto" w:fill="FFFFFF"/>
                <w:lang w:val="ka-GE"/>
              </w:rPr>
              <w:t>ს</w:t>
            </w:r>
            <w:r w:rsidR="00040410" w:rsidRPr="00055013">
              <w:rPr>
                <w:rFonts w:ascii="Sylfaen" w:hAnsi="Sylfaen"/>
                <w:color w:val="000000"/>
                <w:sz w:val="22"/>
                <w:szCs w:val="22"/>
                <w:shd w:val="clear" w:color="auto" w:fill="FFFFFF"/>
                <w:lang w:val="ka-GE"/>
              </w:rPr>
              <w:t>"</w:t>
            </w:r>
            <w:r w:rsidRPr="00055013">
              <w:rPr>
                <w:rFonts w:ascii="Sylfaen" w:hAnsi="Sylfaen"/>
                <w:color w:val="000000"/>
                <w:sz w:val="22"/>
                <w:szCs w:val="22"/>
                <w:shd w:val="clear" w:color="auto" w:fill="FFFFFF"/>
                <w:lang w:val="ka-GE"/>
              </w:rPr>
              <w:t xml:space="preserve"> გათვალისწინებით, </w:t>
            </w:r>
            <w:r w:rsidRPr="00055013">
              <w:rPr>
                <w:rFonts w:ascii="Sylfaen" w:hAnsi="Sylfaen" w:cs="Geo ABC"/>
                <w:bCs/>
                <w:sz w:val="22"/>
                <w:szCs w:val="22"/>
                <w:lang w:val="ka-GE"/>
              </w:rPr>
              <w:t>დამტკიცდეს თანდართული საქართველოს განათლებისა და მეცნიერების ერთიანი ეროვნული სტრატეგია 2022-2030 და მისი 2022-2024 წლების სამოქმედო გეგმა.</w:t>
            </w:r>
          </w:p>
        </w:tc>
      </w:tr>
    </w:tbl>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2"/>
          <w:szCs w:val="22"/>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Geo ABC"/>
          <w:b/>
          <w:bCs/>
          <w:sz w:val="22"/>
          <w:szCs w:val="22"/>
          <w:lang w:val="ka-GE"/>
        </w:rPr>
      </w:pPr>
      <w:r w:rsidRPr="00055013">
        <w:rPr>
          <w:rFonts w:ascii="Sylfaen" w:hAnsi="Sylfaen" w:cs="Sylfaen"/>
          <w:b/>
          <w:bCs/>
          <w:sz w:val="22"/>
          <w:szCs w:val="22"/>
          <w:lang w:val="ka-GE"/>
        </w:rPr>
        <w:t>მუხლის</w:t>
      </w:r>
      <w:r w:rsidRPr="00055013">
        <w:rPr>
          <w:rFonts w:ascii="Sylfaen" w:hAnsi="Sylfaen" w:cs="Geo ABC"/>
          <w:b/>
          <w:bCs/>
          <w:sz w:val="22"/>
          <w:szCs w:val="22"/>
          <w:lang w:val="ka-GE"/>
        </w:rPr>
        <w:t xml:space="preserve"> 2.    </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Geo ABC"/>
          <w:bCs/>
          <w:sz w:val="22"/>
          <w:szCs w:val="22"/>
          <w:lang w:val="ka-GE"/>
        </w:rPr>
      </w:pPr>
      <w:r w:rsidRPr="00055013">
        <w:rPr>
          <w:rFonts w:ascii="Sylfaen" w:hAnsi="Sylfaen" w:cs="Sylfaen"/>
          <w:bCs/>
          <w:sz w:val="22"/>
          <w:szCs w:val="22"/>
          <w:lang w:val="ka-GE"/>
        </w:rPr>
        <w:t>დადგენილება</w:t>
      </w:r>
      <w:r w:rsidRPr="00055013">
        <w:rPr>
          <w:rFonts w:ascii="Sylfaen" w:hAnsi="Sylfaen" w:cs="Geo ABC"/>
          <w:bCs/>
          <w:sz w:val="22"/>
          <w:szCs w:val="22"/>
          <w:lang w:val="ka-GE"/>
        </w:rPr>
        <w:t xml:space="preserve"> </w:t>
      </w:r>
      <w:r w:rsidRPr="00055013">
        <w:rPr>
          <w:rFonts w:ascii="Sylfaen" w:hAnsi="Sylfaen" w:cs="Sylfaen"/>
          <w:bCs/>
          <w:sz w:val="22"/>
          <w:szCs w:val="22"/>
          <w:lang w:val="ka-GE"/>
        </w:rPr>
        <w:t>ამოქმედდეს</w:t>
      </w:r>
      <w:r w:rsidRPr="00055013">
        <w:rPr>
          <w:rFonts w:ascii="Sylfaen" w:hAnsi="Sylfaen" w:cs="Geo ABC"/>
          <w:bCs/>
          <w:sz w:val="22"/>
          <w:szCs w:val="22"/>
          <w:lang w:val="ka-GE"/>
        </w:rPr>
        <w:t xml:space="preserve"> </w:t>
      </w:r>
      <w:r w:rsidRPr="00055013">
        <w:rPr>
          <w:rFonts w:ascii="Sylfaen" w:hAnsi="Sylfaen" w:cs="Sylfaen"/>
          <w:bCs/>
          <w:sz w:val="22"/>
          <w:szCs w:val="22"/>
          <w:lang w:val="ka-GE"/>
        </w:rPr>
        <w:t>გამოქვეყნებისთანავე</w:t>
      </w:r>
      <w:r w:rsidRPr="00055013">
        <w:rPr>
          <w:rFonts w:ascii="Sylfaen" w:hAnsi="Sylfaen" w:cs="Geo ABC"/>
          <w:bCs/>
          <w:sz w:val="22"/>
          <w:szCs w:val="22"/>
          <w:lang w:val="ka-GE"/>
        </w:rPr>
        <w:t>.</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Geo ABC"/>
          <w:b/>
          <w:bCs/>
          <w:sz w:val="22"/>
          <w:szCs w:val="22"/>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Geo ABC"/>
          <w:b/>
          <w:bCs/>
          <w:sz w:val="22"/>
          <w:szCs w:val="22"/>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Geo ABC"/>
          <w:b/>
          <w:bCs/>
          <w:sz w:val="22"/>
          <w:szCs w:val="22"/>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Geo ABC"/>
          <w:b/>
          <w:bCs/>
          <w:sz w:val="22"/>
          <w:szCs w:val="22"/>
          <w:lang w:val="ka-GE"/>
        </w:rPr>
      </w:pPr>
      <w:r w:rsidRPr="00055013">
        <w:rPr>
          <w:rFonts w:ascii="Sylfaen" w:hAnsi="Sylfaen" w:cs="Sylfaen"/>
          <w:b/>
          <w:bCs/>
          <w:sz w:val="22"/>
          <w:szCs w:val="22"/>
          <w:lang w:val="ka-GE"/>
        </w:rPr>
        <w:t>პრემიერ</w:t>
      </w:r>
      <w:r w:rsidRPr="00055013">
        <w:rPr>
          <w:rFonts w:ascii="Sylfaen" w:hAnsi="Sylfaen" w:cs="Geo ABC"/>
          <w:b/>
          <w:bCs/>
          <w:sz w:val="22"/>
          <w:szCs w:val="22"/>
          <w:lang w:val="ka-GE"/>
        </w:rPr>
        <w:t>-</w:t>
      </w:r>
      <w:r w:rsidRPr="00055013">
        <w:rPr>
          <w:rFonts w:ascii="Sylfaen" w:hAnsi="Sylfaen" w:cs="Sylfaen"/>
          <w:b/>
          <w:bCs/>
          <w:sz w:val="22"/>
          <w:szCs w:val="22"/>
          <w:lang w:val="ka-GE"/>
        </w:rPr>
        <w:t>მინისტრი</w:t>
      </w:r>
      <w:r w:rsidRPr="00055013">
        <w:rPr>
          <w:rFonts w:ascii="Sylfaen" w:hAnsi="Sylfaen" w:cs="Geo ABC"/>
          <w:b/>
          <w:bCs/>
          <w:sz w:val="22"/>
          <w:szCs w:val="22"/>
          <w:lang w:val="ka-GE"/>
        </w:rPr>
        <w:t xml:space="preserve">                                                                            </w:t>
      </w:r>
      <w:r w:rsidRPr="00055013">
        <w:rPr>
          <w:rFonts w:ascii="Sylfaen" w:hAnsi="Sylfaen" w:cs="Sylfaen"/>
          <w:b/>
          <w:bCs/>
          <w:sz w:val="22"/>
          <w:szCs w:val="22"/>
          <w:lang w:val="ka-GE"/>
        </w:rPr>
        <w:t>ირაკლი ღარიბაშვილი</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r w:rsidRPr="00055013">
        <w:rPr>
          <w:rFonts w:ascii="Sylfaen" w:hAnsi="Sylfaen"/>
          <w:b/>
          <w:i/>
          <w:sz w:val="22"/>
          <w:szCs w:val="22"/>
          <w:u w:val="single"/>
          <w:lang w:val="ka-GE"/>
        </w:rPr>
        <w:t xml:space="preserve"> </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b/>
          <w:i/>
          <w:sz w:val="22"/>
          <w:szCs w:val="22"/>
          <w:u w:val="single"/>
          <w:lang w:val="ka-GE"/>
        </w:rPr>
      </w:pPr>
    </w:p>
    <w:p w:rsidR="00D74727" w:rsidRPr="00055013" w:rsidRDefault="00D74727" w:rsidP="00D74727">
      <w:pPr>
        <w:jc w:val="center"/>
        <w:rPr>
          <w:rFonts w:ascii="Sylfaen" w:hAnsi="Sylfaen"/>
          <w:b/>
          <w:lang w:val="ka-GE"/>
        </w:rPr>
      </w:pPr>
      <w:r w:rsidRPr="00055013">
        <w:rPr>
          <w:rFonts w:ascii="Sylfaen" w:hAnsi="Sylfaen"/>
          <w:b/>
          <w:lang w:val="ka-GE"/>
        </w:rPr>
        <w:lastRenderedPageBreak/>
        <w:t xml:space="preserve">განმარტებითი ბარათი </w:t>
      </w:r>
    </w:p>
    <w:p w:rsidR="00D74727" w:rsidRPr="00055013" w:rsidRDefault="00D74727" w:rsidP="00D747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Geo ABC"/>
          <w:b/>
          <w:bCs/>
          <w:sz w:val="22"/>
          <w:szCs w:val="22"/>
          <w:lang w:val="ka-GE"/>
        </w:rPr>
      </w:pPr>
      <w:r w:rsidRPr="00055013">
        <w:rPr>
          <w:rFonts w:ascii="Sylfaen" w:hAnsi="Sylfaen" w:cs="Sylfaen"/>
          <w:b/>
          <w:sz w:val="22"/>
          <w:szCs w:val="22"/>
          <w:lang w:val="ka-GE"/>
        </w:rPr>
        <w:t>„საქართველოს განათლებისა და მეცნიერების ერთიანი ეროვნული სტრატეგიის 2022-2030 და მისი 2022-2024 წლების სამოქმედო გეგმის დამტკიცების შესახებ“ საქართველოს მთავრობის დადგენილების პროექტზე</w:t>
      </w:r>
    </w:p>
    <w:p w:rsidR="00D74727" w:rsidRPr="00055013" w:rsidRDefault="00D74727" w:rsidP="00D74727">
      <w:pPr>
        <w:jc w:val="center"/>
        <w:rPr>
          <w:rFonts w:ascii="Sylfaen" w:hAnsi="Sylfaen"/>
          <w:b/>
          <w:lang w:val="ka-GE"/>
        </w:rPr>
      </w:pPr>
    </w:p>
    <w:p w:rsidR="00D74727" w:rsidRPr="00055013" w:rsidRDefault="00D74727" w:rsidP="00D74727">
      <w:pPr>
        <w:jc w:val="center"/>
        <w:rPr>
          <w:rFonts w:ascii="Sylfaen" w:hAnsi="Sylfaen"/>
          <w:b/>
          <w:lang w:val="ka-GE"/>
        </w:rPr>
      </w:pPr>
      <w:r w:rsidRPr="00055013">
        <w:rPr>
          <w:rFonts w:ascii="Sylfaen" w:hAnsi="Sylfaen"/>
          <w:b/>
          <w:lang w:val="ka-GE"/>
        </w:rPr>
        <w:t>ინფორმაცია სამართლებრივი აქტის შესახებ</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ხარისხიანი განათლების მიღება თითოეული ადამიანის ერთ-ერთი ფუნდამენტური უფლებაა და წარმოადგენს პიროვნული და პროფესიული ზრდის, სოციალური კეთილდღეობისა და სახელმწიფოს მდგრადი განვითარების  წინაპირობას. განათლებისა და მეცნიერების სისტემის მიერ ხარისხიანი და ხელმისაწვდომი განათლების უზრუნველყოფა საქართველოს მთავრობის ერთ-ერთი ძირითადი პრიორიტეტია, რასაც მოწმობს უკანასკნელ წლებში განხორციელებული ყოვლისმომცველი რეფორმები, ასევე მთავრობის მიერ აღებული ვალდებულება, გაგრძელდეს განათლების, მეცნიერების, კვლევის, ტექნოლოგიებისა და </w:t>
      </w:r>
      <w:r w:rsidRPr="00055013">
        <w:rPr>
          <w:rFonts w:ascii="Sylfaen" w:eastAsia="Arial Unicode MS" w:hAnsi="Sylfaen" w:cs="Arial Unicode MS"/>
          <w:lang w:val="ka-GE"/>
        </w:rPr>
        <w:t>ინოვაციის სისტემის რეფორმის უწყვეტი მხარდაჭერა და გაიზარდოს განათლების სახელმწიფო დაფინანსება მთლიანი შიდა პროდუქტის (</w:t>
      </w:r>
      <w:proofErr w:type="spellStart"/>
      <w:r w:rsidRPr="00055013">
        <w:rPr>
          <w:rFonts w:ascii="Sylfaen" w:eastAsia="Arial Unicode MS" w:hAnsi="Sylfaen" w:cs="Arial Unicode MS"/>
          <w:lang w:val="ka-GE"/>
        </w:rPr>
        <w:t>მშპ</w:t>
      </w:r>
      <w:proofErr w:type="spellEnd"/>
      <w:r w:rsidRPr="00055013">
        <w:rPr>
          <w:rFonts w:ascii="Sylfaen" w:eastAsia="Arial Unicode MS" w:hAnsi="Sylfaen" w:cs="Arial Unicode MS"/>
          <w:lang w:val="ka-GE"/>
        </w:rPr>
        <w:t>) 6%-მდე.</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2017-2021 წლების განათლებისა და მეცნიერების სტრატეგიის განხორციელებისას გატარებული რეფორმები მიმართული იყო ადრეული და სკოლამდელი განათლების ხელმისაწვდომობის გაზრდაზე, ზოგადი განათლების ხარისხის ამაღლებაზე, პროფესიული განათლების ხელმისაწვდომობისა და ხარისხის გაუმჯობესებაზე. მნიშვნელოვანი ნაბიჯები გადაიდგა მასწავლებლის პროფესიის მიმზიდველობის გაზრდის, უმაღლესი განათლების ხარისხის, კვლევის, ტექნოლოგიების, ინოვაციისა და ინტერნაციონალიზაციის გასაძლიერებლად. </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2019 წელსა და 2022 წლის დასაწყისში განათლებისა და მეცნიერების სამინისტროს (შემდგომ - სამინისტრო) მიერ ჩატარებულმა 2017-2021 სტრატეგიის შუალედურმა და საბოლოო შეფასებამ გამოავლინა, რომ სტრატეგიული მიზნები და ამოცანები მკაფიოდ არ იყო ფორმულირებული და გამყარებული შესაბამისი ინდიკატორებით. არაზუსტი ან </w:t>
      </w:r>
      <w:proofErr w:type="spellStart"/>
      <w:r w:rsidRPr="00055013">
        <w:rPr>
          <w:rFonts w:ascii="Sylfaen" w:eastAsia="Arial Unicode MS" w:hAnsi="Sylfaen" w:cs="Arial Unicode MS"/>
          <w:color w:val="000000" w:themeColor="text1"/>
          <w:lang w:val="ka-GE"/>
        </w:rPr>
        <w:t>არაგაზომვადი</w:t>
      </w:r>
      <w:proofErr w:type="spellEnd"/>
      <w:r w:rsidRPr="00055013">
        <w:rPr>
          <w:rFonts w:ascii="Sylfaen" w:eastAsia="Arial Unicode MS" w:hAnsi="Sylfaen" w:cs="Arial Unicode MS"/>
          <w:color w:val="000000" w:themeColor="text1"/>
          <w:lang w:val="ka-GE"/>
        </w:rPr>
        <w:t xml:space="preserve"> ინდიკატორები არ იძლეოდა საშუალებას, მიზნებთან მიმართებით შეფასებულიყო განხორციელებული საქმიანობა, დადგენილიყო წარმატების ზუსტი კოეფიციენტი, რაც გავლენის ხარისხს დაადგენდა.</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გარდა ამისა, კოვიდ-19-ის პანდემიის შედეგად საქართველოს განათლებისა და მეცნიერების სექტორი აღმოჩნდა მნიშვნელოვანი გამოწვევების წინაშე, როგორებიცაა: დისტანციურ და ჰიბრიდულ სასწავლო პროცესზე გადასვლა, სასწავლო პროცესში ჩართულობისა და სასწავლო მიზნების მიღწევის თანაბარი შესაძლებლობის შექმნა, მასწავლებლებისა და მოსწავლეებისათვის ციფრული სასწავლო რესურსების მიწოდების უზრუნველყოფა. </w:t>
      </w:r>
    </w:p>
    <w:p w:rsidR="008449D3"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lastRenderedPageBreak/>
        <w:t xml:space="preserve">საქართველოს მთავრობამ, განათლებისა და მეცნიერების სამინისტროს ხელმძღვანელობით, აიღო განათლებისა და მეცნიერების სისტემის განვითარების გრძელვადიანი სტრატეგიული გეგმის შემუშავების პასუხისმგებლობა და საქართველოს მთავრობის 2021 წლის 28 ივნისის N304 დადგენილებით შეიქმნა 2022-2030 წლების საქართველოს განათლებისა და მეცნიერების სტრატეგიისა და სამოქმედო გეგმის შემმუშავებელი უწყებათაშორისი საბჭო. წინამდებარე სტრატეგია განამტკიცებს განხორციელებული რეფორმების ფარგლებში მიღწეულ შედეგებს. ასევე, მიზნად ისახავს სისტემის </w:t>
      </w:r>
      <w:proofErr w:type="spellStart"/>
      <w:r w:rsidRPr="00055013">
        <w:rPr>
          <w:rFonts w:ascii="Sylfaen" w:eastAsia="Arial Unicode MS" w:hAnsi="Sylfaen" w:cs="Arial Unicode MS"/>
          <w:color w:val="000000" w:themeColor="text1"/>
          <w:lang w:val="ka-GE"/>
        </w:rPr>
        <w:t>ჰოლისტური</w:t>
      </w:r>
      <w:proofErr w:type="spellEnd"/>
      <w:r w:rsidRPr="00055013">
        <w:rPr>
          <w:rFonts w:ascii="Sylfaen" w:eastAsia="Arial Unicode MS" w:hAnsi="Sylfaen" w:cs="Arial Unicode MS"/>
          <w:color w:val="000000" w:themeColor="text1"/>
          <w:lang w:val="ka-GE"/>
        </w:rPr>
        <w:t xml:space="preserve"> და მდგრადი განვითარების მხარდაჭერას, საყოველთაო და მთელი ცხოვრების მანძილზე სწავლის შესაძლებლობების უზრუნველყოფას. ამასთანავე, განათლებისა და მეცნიერების სისტემის განვითარებისა და ინსტიტუციური გაძლიერების მიზნით, შესაბამისი კვლევისა და ანალიზის საფუძველზე, მომზადდება ინსტიტუციური განვითარების პოლიტიკის დოკუმენტები. </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დასახული მიზნების მისაღწევად მნიშვნელოვანია სამიზნე სამინისტროების, პარლამენტის, მუნიციპალიტეტების, ძირითადი დაინტერესებული მხარეების, მათ შორის აკადემიური და სამოქალაქო საზოგადოების, კერძო სექტორის, საერთაშორისო დონორების, დამოუკიდებელი ექსპერტებისა და ფართო საზოგადოების გრძელვადიანი, </w:t>
      </w:r>
      <w:r w:rsidR="00566E7B" w:rsidRPr="00055013">
        <w:rPr>
          <w:rFonts w:ascii="Sylfaen" w:eastAsia="Arial Unicode MS" w:hAnsi="Sylfaen" w:cs="Arial Unicode MS"/>
          <w:color w:val="000000" w:themeColor="text1"/>
          <w:lang w:val="ka-GE"/>
        </w:rPr>
        <w:t>მჭიდრო და</w:t>
      </w:r>
      <w:r w:rsidRPr="00055013">
        <w:rPr>
          <w:rFonts w:ascii="Sylfaen" w:eastAsia="Arial Unicode MS" w:hAnsi="Sylfaen" w:cs="Arial Unicode MS"/>
          <w:color w:val="000000" w:themeColor="text1"/>
          <w:lang w:val="ka-GE"/>
        </w:rPr>
        <w:t xml:space="preserve"> აქტიური თანამშრომლობა.</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სტრატეგია ითვალისწინებს  ევროკავშირის, მსოფლიო ბანკის, ეკონომიკური თანამშრომლობისა და განვითარების ორგანიზაციის, გაეროს სააგენტოებისა და სხვა ავტორიტეტული საერთაშორისო ორგანიზაციების მიერ განათლებისა და მეცნიერების სექტორში გამოვლენილი გამოწვევების გადასაჭრელად შემუშავებულ რეკომენდაციებს შემდეგი ძირითადი მიმართულებებით: განათლების სისტემაში </w:t>
      </w:r>
      <w:hyperlink r:id="rId4" w:history="1">
        <w:r w:rsidRPr="00055013">
          <w:rPr>
            <w:rStyle w:val="Hyperlink"/>
            <w:rFonts w:ascii="Sylfaen" w:eastAsia="Arial Unicode MS" w:hAnsi="Sylfaen" w:cs="Arial Unicode MS"/>
            <w:color w:val="000000" w:themeColor="text1"/>
            <w:u w:val="none"/>
            <w:lang w:val="ka-GE"/>
          </w:rPr>
          <w:t>მონიტორინგის და შეფასების სისტემის გაუმჯობესება</w:t>
        </w:r>
      </w:hyperlink>
      <w:r w:rsidRPr="00055013">
        <w:rPr>
          <w:rFonts w:ascii="Sylfaen" w:eastAsia="Arial Unicode MS" w:hAnsi="Sylfaen" w:cs="Arial Unicode MS"/>
          <w:color w:val="000000" w:themeColor="text1"/>
          <w:lang w:val="ka-GE"/>
        </w:rPr>
        <w:t xml:space="preserve">; </w:t>
      </w:r>
      <w:hyperlink r:id="rId5" w:history="1">
        <w:r w:rsidRPr="00055013">
          <w:rPr>
            <w:rStyle w:val="Hyperlink"/>
            <w:rFonts w:ascii="Sylfaen" w:eastAsia="Arial Unicode MS" w:hAnsi="Sylfaen" w:cs="Arial Unicode MS"/>
            <w:color w:val="000000" w:themeColor="text1"/>
            <w:u w:val="none"/>
            <w:lang w:val="ka-GE"/>
          </w:rPr>
          <w:t>მაღალი ხარისხის სწავლა-სწავლების უზრუნველყოფა</w:t>
        </w:r>
      </w:hyperlink>
      <w:r w:rsidRPr="00055013">
        <w:rPr>
          <w:rFonts w:ascii="Sylfaen" w:eastAsia="Arial Unicode MS" w:hAnsi="Sylfaen" w:cs="Arial Unicode MS"/>
          <w:color w:val="000000" w:themeColor="text1"/>
          <w:lang w:val="ka-GE"/>
        </w:rPr>
        <w:t xml:space="preserve">; </w:t>
      </w:r>
      <w:hyperlink r:id="rId6" w:history="1">
        <w:r w:rsidRPr="00055013">
          <w:rPr>
            <w:rStyle w:val="Hyperlink"/>
            <w:rFonts w:ascii="Sylfaen" w:eastAsia="Arial Unicode MS" w:hAnsi="Sylfaen" w:cs="Arial Unicode MS"/>
            <w:color w:val="000000" w:themeColor="text1"/>
            <w:u w:val="none"/>
            <w:lang w:val="ka-GE"/>
          </w:rPr>
          <w:t>უმაღლესი განათლების დაფინანსების სისტემის გაუმჯობესება</w:t>
        </w:r>
      </w:hyperlink>
      <w:r w:rsidRPr="00055013">
        <w:rPr>
          <w:rFonts w:ascii="Sylfaen" w:eastAsia="Arial Unicode MS" w:hAnsi="Sylfaen" w:cs="Arial Unicode MS"/>
          <w:color w:val="000000" w:themeColor="text1"/>
          <w:lang w:val="ka-GE"/>
        </w:rPr>
        <w:t xml:space="preserve">; </w:t>
      </w:r>
      <w:hyperlink r:id="rId7" w:history="1">
        <w:r w:rsidRPr="00055013">
          <w:rPr>
            <w:rStyle w:val="Hyperlink"/>
            <w:rFonts w:ascii="Sylfaen" w:eastAsia="Arial Unicode MS" w:hAnsi="Sylfaen" w:cs="Arial Unicode MS"/>
            <w:color w:val="000000" w:themeColor="text1"/>
            <w:u w:val="none"/>
            <w:lang w:val="ka-GE"/>
          </w:rPr>
          <w:t>მეცნიერების, ტექნოლოგიისა და ინოვაციების სისტემის განახლება</w:t>
        </w:r>
      </w:hyperlink>
      <w:r w:rsidRPr="00055013">
        <w:rPr>
          <w:rFonts w:ascii="Sylfaen" w:eastAsia="Arial Unicode MS" w:hAnsi="Sylfaen" w:cs="Arial Unicode MS"/>
          <w:color w:val="000000" w:themeColor="text1"/>
          <w:lang w:val="ka-GE"/>
        </w:rPr>
        <w:t xml:space="preserve"> და </w:t>
      </w:r>
      <w:hyperlink r:id="rId8" w:history="1">
        <w:r w:rsidRPr="00055013">
          <w:rPr>
            <w:rStyle w:val="Hyperlink"/>
            <w:rFonts w:ascii="Sylfaen" w:eastAsia="Arial Unicode MS" w:hAnsi="Sylfaen" w:cs="Arial Unicode MS"/>
            <w:color w:val="000000" w:themeColor="text1"/>
            <w:u w:val="none"/>
            <w:lang w:val="ka-GE"/>
          </w:rPr>
          <w:t>საქართველოს კვლევითი და ინოვაციური საქმიანობის განვითარება</w:t>
        </w:r>
      </w:hyperlink>
      <w:r w:rsidRPr="00055013">
        <w:rPr>
          <w:rFonts w:ascii="Sylfaen" w:eastAsia="Arial Unicode MS" w:hAnsi="Sylfaen" w:cs="Arial Unicode MS"/>
          <w:color w:val="000000" w:themeColor="text1"/>
          <w:lang w:val="ka-GE"/>
        </w:rPr>
        <w:t xml:space="preserve">. </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2022-2030 წლების განათლებისა და მეცნიერების სტრატეგიის შემუშავებისა და შემდგომ იმპლემენტაციის პროცესში მნიშვნელოვანი ყურადღება დაეთმობა განათლებისა და მეცნიერების სისტემასთან დაკავშირებული მონაცემების ხარისხისა და ხელმისაწვდომობის გაუმჯობესებას. სტრატეგია ხელს შეუწყობს მტკიცებულებებზე დაფუძნებული მიდგომის დანერგვას და მონაცემების ანალიზის თავსებადობას იუნესკოს სტატისტიკის ინსტიტუტის მიერ დადგენილ სტანდარტებთან.</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2022-2030 წლების განათლებისა და მეცნიერების ახალი ეროვნული სტრატეგია შემუშავდა სისტემური მიდგომით და სრულ თანხვედრაშია ეროვნულ კანონმდებლობასთან. საჯარო მმართველობის მიმდინარე რეფორმის საფუძველზე, სტრატეგიის შემუშავების მეთოდოლოგია ეფუძნება საქართველოს მთავრობის 2019 წლის 20 დეკემბრის “პოლიტიკის შემუშავების, მონიტორინგისა და შეფასების წესის დამტკიცების შესახებ” N629 </w:t>
      </w:r>
      <w:r w:rsidRPr="00055013">
        <w:rPr>
          <w:rFonts w:ascii="Sylfaen" w:eastAsia="Arial Unicode MS" w:hAnsi="Sylfaen" w:cs="Arial Unicode MS"/>
          <w:color w:val="000000" w:themeColor="text1"/>
          <w:lang w:val="ka-GE"/>
        </w:rPr>
        <w:lastRenderedPageBreak/>
        <w:t xml:space="preserve">დადგენილებით დამტკიცებულ “პოლიტიკის დაგეგმვის, მონიტორინგისა და შეფასების სახელმძღვანელოსა” და მის დანართებს. აღნიშნული მეთოდოლოგია ხაზს უსვამს მტკიცებულებებზე დაფუძნებული პოლიტიკის შემუშავების მნიშვნელობას. ასევე, დაინტერესებულ მხარეებთან უწყვეტ და მრავალმხრივ თანამშრომლობას პრიორიტეტების განსაზღვრის, სტრატეგიული ამოცანების თანამიმდევრულობის, განხორციელების შესაძლებლობისა და ფინანსური მდგრადობის უზრუნველყოფისთვის. </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წარმოდგენილი სტრატეგიული დოკუმენტი მიზნად ისახავს უწყებათაშორისი თანამშრომლობის ხელშეწყობას და ასევე, განათლებისა და მეცნიერების პოლიტიკის სინქრონიზებას ეროვნული პოლიტიკის შესაბამის დოკუმენტებთან, რომლებიც ფოკუსირებულია ადამიანის უფლებრივი მდგომარეობის გაუმჯობესებაზე, ინფრასტრუქტურის განვითარებაზე, მიგრაციაზე, გარემოს დაცვაზე, სოფლის განვითარებაზე, სამოქალაქო ინტეგრაციასა და ქვეყნის ეკონომიკური, სოციალური და კულტურული გარემოს განვითარებაზე. </w:t>
      </w:r>
    </w:p>
    <w:p w:rsidR="00D74727" w:rsidRPr="00055013" w:rsidRDefault="00D74727" w:rsidP="00D74727">
      <w:pPr>
        <w:jc w:val="both"/>
        <w:rPr>
          <w:rFonts w:ascii="Sylfaen" w:hAnsi="Sylfaen"/>
          <w:lang w:val="ka-GE" w:bidi="en-GB"/>
        </w:rPr>
      </w:pPr>
      <w:r w:rsidRPr="00055013">
        <w:rPr>
          <w:rFonts w:ascii="Sylfaen" w:eastAsia="Arial Unicode MS" w:hAnsi="Sylfaen" w:cs="Arial Unicode MS"/>
          <w:color w:val="000000" w:themeColor="text1"/>
          <w:lang w:val="ka-GE"/>
        </w:rPr>
        <w:t xml:space="preserve">განათლებისა და მეცნიერების ერთიანი ეროვნული სტრატეგიაში გაცხადებულია საქართველოს მომავლის პოლიტიკური ხედვა, რომელიც ემყარება სწრაფვას, ააშენოს ევროპული სახელმწიფო. შესაბამისად, სტრატეგია მჭიდრო კავშირშია და შეესაბამება 2021-2024 წლების სამთავრობო პროგრამას </w:t>
      </w:r>
      <w:r w:rsidRPr="00055013">
        <w:rPr>
          <w:rFonts w:ascii="Sylfaen" w:hAnsi="Sylfaen"/>
          <w:lang w:val="ka-GE" w:bidi="en-GB"/>
        </w:rPr>
        <w:t>„ევროპული სახელმწიფოს მშენებლობისთვის", ასევე, პოლიტიკის ყველა იმ დოკუმენტს, რომლებიც შემუშავებულია უწყებათაშორისი საბჭოებისა და კომისიების ფორმატში.</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წინამდებარე დოკუმენტი წარმოადგენს მთავრობის ხედვას განათლებისა და მეცნიერების სისტემის განვითარების შესახებ და პრიორიტეტულ მიმართულებებთან ერთად ასახავს გამოვლენილი პრობლემების გადასაჭრელად დასახული მიზნებისა და ამოცანების განხორციელების გეგმას. დოკუმენტში ასევე განსაზღვრულია სტრატეგიის შესრულების ინდიკატორები მიღწეული პროგრესის შეფასებისა და მონიტორინგისათვის. </w:t>
      </w:r>
    </w:p>
    <w:p w:rsidR="00D74727" w:rsidRPr="00055013" w:rsidRDefault="00D74727" w:rsidP="00686E7D">
      <w:pPr>
        <w:jc w:val="both"/>
        <w:rPr>
          <w:rFonts w:ascii="Sylfaen" w:eastAsia="Arial Unicode MS" w:hAnsi="Sylfaen" w:cs="Arial Unicode MS"/>
          <w:color w:val="000000" w:themeColor="text1"/>
          <w:lang w:val="ka-GE"/>
        </w:rPr>
      </w:pPr>
      <w:r w:rsidRPr="00055013">
        <w:rPr>
          <w:rFonts w:ascii="Sylfaen" w:eastAsia="Arial Unicode MS" w:hAnsi="Sylfaen" w:cs="Arial Unicode MS"/>
          <w:color w:val="000000" w:themeColor="text1"/>
          <w:lang w:val="ka-GE"/>
        </w:rPr>
        <w:t xml:space="preserve">ამასთან, აღნიშნული დოკუმენტით მტკიცდება განათლებისა და მეცნიერების 2022-2024 წლების სამოქმედო გეგმა, სადაც გაწერილია შესასრულებელი აქტივობები, ამოცანები და მათი შესრულების ვადები. </w:t>
      </w:r>
    </w:p>
    <w:p w:rsidR="00055013" w:rsidRPr="00055013" w:rsidRDefault="00055013" w:rsidP="00686E7D">
      <w:pPr>
        <w:jc w:val="both"/>
        <w:rPr>
          <w:rFonts w:ascii="Sylfaen" w:eastAsia="Arial Unicode MS" w:hAnsi="Sylfaen" w:cs="Arial Unicode MS"/>
          <w:color w:val="000000" w:themeColor="text1"/>
          <w:lang w:val="ka-GE"/>
        </w:rPr>
      </w:pPr>
    </w:p>
    <w:p w:rsidR="001E7B47" w:rsidRPr="00055013" w:rsidRDefault="001E7B47" w:rsidP="001E7B47">
      <w:pPr>
        <w:jc w:val="center"/>
        <w:rPr>
          <w:rFonts w:ascii="Sylfaen" w:hAnsi="Sylfaen"/>
          <w:lang w:val="ka-GE"/>
        </w:rPr>
      </w:pPr>
      <w:r w:rsidRPr="00055013">
        <w:rPr>
          <w:rFonts w:ascii="Sylfaen" w:hAnsi="Sylfaen"/>
          <w:b/>
          <w:lang w:val="ka-GE"/>
        </w:rPr>
        <w:t>პროექტის მიმართება ევროკავშირის სამართლებრივ აქტებთან</w:t>
      </w:r>
    </w:p>
    <w:p w:rsidR="001E7B47" w:rsidRPr="00055013" w:rsidRDefault="001E7B47" w:rsidP="001E7B47">
      <w:pPr>
        <w:jc w:val="both"/>
        <w:rPr>
          <w:rFonts w:ascii="Sylfaen" w:hAnsi="Sylfaen"/>
          <w:lang w:val="ka-GE"/>
        </w:rPr>
      </w:pPr>
      <w:r w:rsidRPr="00055013">
        <w:rPr>
          <w:rFonts w:ascii="Sylfaen" w:hAnsi="Sylfaen"/>
          <w:lang w:val="ka-GE"/>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და არ ეწინააღმდეგება მათ.</w:t>
      </w:r>
    </w:p>
    <w:p w:rsidR="00055013" w:rsidRPr="00055013" w:rsidRDefault="00055013" w:rsidP="001E7B47">
      <w:pPr>
        <w:jc w:val="both"/>
        <w:rPr>
          <w:rFonts w:ascii="Sylfaen" w:hAnsi="Sylfaen"/>
          <w:lang w:val="ka-GE"/>
        </w:rPr>
      </w:pPr>
    </w:p>
    <w:p w:rsidR="001E7B47" w:rsidRPr="00055013" w:rsidRDefault="001E7B47" w:rsidP="001E7B47">
      <w:pPr>
        <w:jc w:val="center"/>
        <w:rPr>
          <w:rFonts w:ascii="Sylfaen" w:hAnsi="Sylfaen"/>
          <w:b/>
          <w:lang w:val="ka-GE"/>
        </w:rPr>
      </w:pPr>
      <w:r w:rsidRPr="00055013">
        <w:rPr>
          <w:rFonts w:ascii="Sylfaen" w:hAnsi="Sylfaen"/>
          <w:b/>
          <w:lang w:val="ka-GE"/>
        </w:rPr>
        <w:lastRenderedPageBreak/>
        <w:t>ბავშვის უფლებრივ მდგომარეობაზე პროექტის ზეგავლენის შეფასება</w:t>
      </w:r>
    </w:p>
    <w:p w:rsidR="001E7B47" w:rsidRPr="00055013" w:rsidRDefault="00653746" w:rsidP="00653746">
      <w:pPr>
        <w:jc w:val="both"/>
        <w:rPr>
          <w:rFonts w:ascii="Sylfaen" w:hAnsi="Sylfaen"/>
          <w:lang w:val="ka-GE"/>
        </w:rPr>
      </w:pPr>
      <w:r w:rsidRPr="00055013">
        <w:rPr>
          <w:rFonts w:ascii="Sylfaen" w:hAnsi="Sylfaen"/>
          <w:lang w:val="ka-GE"/>
        </w:rPr>
        <w:t>პროექტი</w:t>
      </w:r>
      <w:r w:rsidR="001E7B47" w:rsidRPr="00055013">
        <w:rPr>
          <w:rFonts w:ascii="Sylfaen" w:hAnsi="Sylfaen"/>
          <w:lang w:val="ka-GE"/>
        </w:rPr>
        <w:t xml:space="preserve"> </w:t>
      </w:r>
      <w:r w:rsidRPr="00055013">
        <w:rPr>
          <w:rFonts w:ascii="Sylfaen" w:hAnsi="Sylfaen"/>
          <w:lang w:val="ka-GE"/>
        </w:rPr>
        <w:t>არ ახდენს ზეგავლენას ბავშვის უფლებრივ მდგომარეობაზე.</w:t>
      </w:r>
    </w:p>
    <w:p w:rsidR="001E7B47" w:rsidRPr="00055013" w:rsidRDefault="001E7B47" w:rsidP="00686E7D">
      <w:pPr>
        <w:jc w:val="both"/>
        <w:rPr>
          <w:rFonts w:ascii="Sylfaen" w:eastAsia="Arial Unicode MS" w:hAnsi="Sylfaen" w:cs="Arial Unicode MS"/>
          <w:color w:val="000000" w:themeColor="text1"/>
          <w:lang w:val="ka-GE"/>
        </w:rPr>
      </w:pPr>
    </w:p>
    <w:p w:rsidR="00D74727" w:rsidRPr="00055013" w:rsidRDefault="00D74727" w:rsidP="00686E7D">
      <w:pPr>
        <w:jc w:val="center"/>
        <w:rPr>
          <w:rFonts w:ascii="Sylfaen" w:hAnsi="Sylfaen"/>
          <w:b/>
          <w:lang w:val="ka-GE"/>
        </w:rPr>
      </w:pPr>
      <w:r w:rsidRPr="00055013">
        <w:rPr>
          <w:rFonts w:ascii="Sylfaen" w:hAnsi="Sylfaen"/>
          <w:b/>
          <w:lang w:val="ka-GE"/>
        </w:rPr>
        <w:t>პროექტის მიღებით გამოწვეული საფინანსო ეკონომიკური შედეგების გაანგარიშება</w:t>
      </w:r>
    </w:p>
    <w:p w:rsidR="00566E7B" w:rsidRPr="00055013" w:rsidRDefault="00566E7B" w:rsidP="00566E7B">
      <w:pPr>
        <w:pStyle w:val="BodyText"/>
        <w:rPr>
          <w:rFonts w:ascii="Sylfaen" w:hAnsi="Sylfaen"/>
          <w:lang w:val="ka-GE"/>
        </w:rPr>
      </w:pPr>
      <w:r w:rsidRPr="00055013">
        <w:rPr>
          <w:rFonts w:ascii="Sylfaen" w:hAnsi="Sylfaen"/>
          <w:lang w:val="ka-GE"/>
        </w:rPr>
        <w:t xml:space="preserve">სტრატეგია და სამოქმედო გეგმა განხორციელდება საქართველოს სახელმწიფო ბიუჯეტით, ქვეყნის ძირითადი მონაცემების და მიმართულებების დოკუმენტით (BDD) გათვალისწინებული პასუხისმგებელი უწყებების ასიგნებების ფარგლებში, რომელიც საფუძვლად უდევს სახელმწიფო ბიუჯეტის დაფინანსებას. სამოქმედო გეგმის აქტივობები ასევე დაფინანსდება ბიუჯეტის დოკუმენტში მითითებული წყაროების - საერთაშორისო და სხვა დონორი ორგანიზაციებისა მიერ. </w:t>
      </w:r>
    </w:p>
    <w:p w:rsidR="00566E7B" w:rsidRPr="00055013" w:rsidRDefault="00566E7B" w:rsidP="00566E7B">
      <w:pPr>
        <w:spacing w:before="120" w:after="120"/>
        <w:jc w:val="both"/>
        <w:rPr>
          <w:rFonts w:ascii="Sylfaen" w:hAnsi="Sylfaen"/>
          <w:color w:val="000000"/>
          <w:lang w:val="ka-GE"/>
        </w:rPr>
      </w:pPr>
      <w:r w:rsidRPr="00055013">
        <w:rPr>
          <w:rFonts w:ascii="Sylfaen" w:hAnsi="Sylfaen"/>
          <w:lang w:val="ka-GE"/>
        </w:rPr>
        <w:t xml:space="preserve">სტრატეგიის და სამოქმედო გეგმის ეფექტიანი განხორციელებისთვის, ასევე, უზრუნველყოფილი იქნება საერთაშორისო პარტნიორების და დონორი ორგანიზაციების ჩართულობა. </w:t>
      </w:r>
      <w:r w:rsidRPr="00055013">
        <w:rPr>
          <w:rFonts w:ascii="Sylfaen" w:hAnsi="Sylfaen"/>
          <w:color w:val="000000"/>
          <w:lang w:val="ka-GE"/>
        </w:rPr>
        <w:t>სტრატეგიის განსახორციელებლად საჭირო ფინანსური რესურსების ოდენობა განისაზღვრება წლიური სამოქმედო გეგმით. საქართველოს მთავრობა მჭიდროდ და აქტიურად ითანამშრომლებს საერთაშორისო თანამეგობრობასთან, რათა ეფექტურად განახორციელოს რესურსების მობილიზება სამოქმედო გეგმით განსაზღვრული საქმიანობისათვის.</w:t>
      </w:r>
    </w:p>
    <w:p w:rsidR="00566E7B" w:rsidRPr="00055013" w:rsidRDefault="00566E7B" w:rsidP="00566E7B">
      <w:pPr>
        <w:pStyle w:val="BodyText"/>
        <w:rPr>
          <w:rFonts w:ascii="Sylfaen" w:hAnsi="Sylfaen"/>
          <w:lang w:val="ka-GE"/>
        </w:rPr>
      </w:pPr>
      <w:r w:rsidRPr="00055013">
        <w:rPr>
          <w:rFonts w:ascii="Sylfaen" w:hAnsi="Sylfaen"/>
          <w:lang w:val="ka-GE"/>
        </w:rPr>
        <w:t>სტრატეგიის განხორციელების პერიოდში, სრული დაფინანსების არ არსებობის შემთხვევაში, დეფიციტის შესავსებად დაგეგმილია საერთაშორისო დონორ ორგანიზაციებთან, საქართველოს ფინანსთა სამინისტროსთან და საქართველოს პარლამენტთან სტრატეგიის წარმატებით შესასრულებლად შესაბამისი თანამშრომლობის ფორმატის შემუშავება, პროცესის განხორციელების შეფერხების თავიდან ასაცილებლად.</w:t>
      </w:r>
    </w:p>
    <w:p w:rsidR="00D74727" w:rsidRPr="00055013" w:rsidRDefault="00D74727" w:rsidP="00D74727">
      <w:pPr>
        <w:jc w:val="both"/>
        <w:rPr>
          <w:rFonts w:ascii="Sylfaen" w:hAnsi="Sylfaen"/>
          <w:lang w:val="ka-GE"/>
        </w:rPr>
      </w:pPr>
    </w:p>
    <w:p w:rsidR="00D74727" w:rsidRPr="00055013" w:rsidRDefault="00D74727" w:rsidP="00D74727">
      <w:pPr>
        <w:jc w:val="center"/>
        <w:rPr>
          <w:rFonts w:ascii="Sylfaen" w:hAnsi="Sylfaen"/>
          <w:b/>
          <w:lang w:val="ka-GE"/>
        </w:rPr>
      </w:pPr>
      <w:r w:rsidRPr="00055013">
        <w:rPr>
          <w:rFonts w:ascii="Sylfaen" w:hAnsi="Sylfaen"/>
          <w:b/>
          <w:lang w:val="ka-GE"/>
        </w:rPr>
        <w:t>პროექტის მოსალოდნელი შედეგები</w:t>
      </w:r>
    </w:p>
    <w:p w:rsidR="00D74727" w:rsidRPr="00055013" w:rsidRDefault="00D74727" w:rsidP="00D74727">
      <w:pPr>
        <w:jc w:val="both"/>
        <w:rPr>
          <w:rFonts w:ascii="Sylfaen" w:eastAsia="Arial Unicode MS" w:hAnsi="Sylfaen" w:cs="Arial Unicode MS"/>
          <w:color w:val="000000" w:themeColor="text1"/>
          <w:lang w:val="ka-GE"/>
        </w:rPr>
      </w:pPr>
      <w:r w:rsidRPr="00055013">
        <w:rPr>
          <w:rFonts w:ascii="Sylfaen" w:hAnsi="Sylfaen"/>
          <w:lang w:val="ka-GE"/>
        </w:rPr>
        <w:t xml:space="preserve">წარმოდგენილი პროექტით მოხდება საქართველოს განათლებისა და მეცნიერების ერთიანი ეროვნული სტრატეგიის 2022-2030 და მისი 2022-2024 წლების სამოქმედო გეგმის დამტკიცება, რაც </w:t>
      </w:r>
      <w:r w:rsidRPr="00055013">
        <w:rPr>
          <w:rFonts w:ascii="Sylfaen" w:eastAsia="Arial Unicode MS" w:hAnsi="Sylfaen" w:cs="Arial Unicode MS"/>
          <w:color w:val="000000" w:themeColor="text1"/>
          <w:lang w:val="ka-GE"/>
        </w:rPr>
        <w:t>თავის მხრივ, ხელს შეუწყობს მდგრადი, ცოდნაზე დაფუძნებული და ძლიერი სამოქალაქო საზოგადოების ჩამოყალიბებას.</w:t>
      </w:r>
    </w:p>
    <w:p w:rsidR="00D74727" w:rsidRPr="00055013" w:rsidRDefault="00653746" w:rsidP="00D74727">
      <w:pPr>
        <w:jc w:val="center"/>
        <w:rPr>
          <w:rFonts w:ascii="Sylfaen" w:hAnsi="Sylfaen"/>
          <w:b/>
          <w:lang w:val="ka-GE"/>
        </w:rPr>
      </w:pPr>
      <w:r w:rsidRPr="00055013">
        <w:rPr>
          <w:rFonts w:ascii="Sylfaen" w:hAnsi="Sylfaen"/>
          <w:b/>
          <w:lang w:val="ka-GE"/>
        </w:rPr>
        <w:t>პროექტის</w:t>
      </w:r>
      <w:r w:rsidR="00D74727" w:rsidRPr="00055013">
        <w:rPr>
          <w:rFonts w:ascii="Sylfaen" w:hAnsi="Sylfaen"/>
          <w:b/>
          <w:lang w:val="ka-GE"/>
        </w:rPr>
        <w:t xml:space="preserve"> განხორციელების ვადები</w:t>
      </w:r>
    </w:p>
    <w:p w:rsidR="00D74727" w:rsidRPr="00055013" w:rsidRDefault="00D74727" w:rsidP="00D74727">
      <w:pPr>
        <w:jc w:val="both"/>
        <w:rPr>
          <w:rFonts w:ascii="Sylfaen" w:hAnsi="Sylfaen"/>
          <w:lang w:val="ka-GE"/>
        </w:rPr>
      </w:pPr>
      <w:r w:rsidRPr="00055013">
        <w:rPr>
          <w:rFonts w:ascii="Sylfaen" w:hAnsi="Sylfaen"/>
          <w:lang w:val="ka-GE"/>
        </w:rPr>
        <w:t>საქართველოს განათლებისა და მეცნიერების ერთიანი ეროვნული სტრატეგიით 2022-2030 გათვალისწინებული აქტივობების შესრულებისათვის შესაბამისი ვადები მითითებულია 2022-2024 წლების</w:t>
      </w:r>
      <w:r w:rsidRPr="00055013">
        <w:rPr>
          <w:rFonts w:ascii="Sylfaen" w:hAnsi="Sylfaen"/>
          <w:b/>
          <w:lang w:val="ka-GE"/>
        </w:rPr>
        <w:t xml:space="preserve"> </w:t>
      </w:r>
      <w:r w:rsidRPr="00055013">
        <w:rPr>
          <w:rFonts w:ascii="Sylfaen" w:hAnsi="Sylfaen"/>
          <w:lang w:val="ka-GE"/>
        </w:rPr>
        <w:t>სამოქმედო გეგმის პროექტის შესაბამის გრაფებში.</w:t>
      </w:r>
    </w:p>
    <w:p w:rsidR="00D74727" w:rsidRPr="00055013" w:rsidRDefault="00D74727" w:rsidP="00D74727">
      <w:pPr>
        <w:jc w:val="center"/>
        <w:rPr>
          <w:rFonts w:ascii="Sylfaen" w:hAnsi="Sylfaen"/>
          <w:b/>
          <w:lang w:val="ka-GE"/>
        </w:rPr>
      </w:pPr>
      <w:r w:rsidRPr="00055013">
        <w:rPr>
          <w:rFonts w:ascii="Sylfaen" w:hAnsi="Sylfaen"/>
          <w:b/>
          <w:lang w:val="ka-GE"/>
        </w:rPr>
        <w:lastRenderedPageBreak/>
        <w:t>პროექტის ავტორი და წარმდგენი</w:t>
      </w:r>
    </w:p>
    <w:p w:rsidR="00D74727" w:rsidRPr="00055013" w:rsidRDefault="00D74727" w:rsidP="00D74727">
      <w:pPr>
        <w:jc w:val="both"/>
        <w:rPr>
          <w:rFonts w:ascii="Sylfaen" w:hAnsi="Sylfaen"/>
          <w:lang w:val="ka-GE"/>
        </w:rPr>
      </w:pPr>
      <w:r w:rsidRPr="00055013">
        <w:rPr>
          <w:rFonts w:ascii="Sylfaen" w:hAnsi="Sylfaen"/>
          <w:lang w:val="ka-GE"/>
        </w:rPr>
        <w:t>პროექტის ავტორი და წარმდგენია საქართველოს განათლებისა და მეცნიერების სამინისტრო.</w:t>
      </w:r>
    </w:p>
    <w:p w:rsidR="00D74727" w:rsidRPr="00055013" w:rsidRDefault="00D74727" w:rsidP="00D74727">
      <w:pPr>
        <w:rPr>
          <w:lang w:val="ka-GE"/>
        </w:rPr>
      </w:pPr>
    </w:p>
    <w:bookmarkEnd w:id="0"/>
    <w:p w:rsidR="0008403C" w:rsidRPr="00055013" w:rsidRDefault="0008403C">
      <w:pPr>
        <w:rPr>
          <w:lang w:val="ka-GE"/>
        </w:rPr>
      </w:pPr>
    </w:p>
    <w:sectPr w:rsidR="0008403C" w:rsidRPr="00055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27"/>
    <w:rsid w:val="00040410"/>
    <w:rsid w:val="00055013"/>
    <w:rsid w:val="0008403C"/>
    <w:rsid w:val="001E7B47"/>
    <w:rsid w:val="003F59C0"/>
    <w:rsid w:val="00566E7B"/>
    <w:rsid w:val="00653746"/>
    <w:rsid w:val="00686E7D"/>
    <w:rsid w:val="008449D3"/>
    <w:rsid w:val="009D6318"/>
    <w:rsid w:val="00D74727"/>
    <w:rsid w:val="00ED539C"/>
    <w:rsid w:val="00F9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08AC"/>
  <w15:chartTrackingRefBased/>
  <w15:docId w15:val="{877DCF17-93FD-43B7-847C-BE44C016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7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74727"/>
    <w:pPr>
      <w:spacing w:before="120" w:after="120"/>
      <w:jc w:val="both"/>
    </w:pPr>
  </w:style>
  <w:style w:type="character" w:customStyle="1" w:styleId="BodyTextChar">
    <w:name w:val="Body Text Char"/>
    <w:basedOn w:val="DefaultParagraphFont"/>
    <w:link w:val="BodyText"/>
    <w:uiPriority w:val="1"/>
    <w:semiHidden/>
    <w:rsid w:val="00D74727"/>
  </w:style>
  <w:style w:type="paragraph" w:customStyle="1" w:styleId="Normal0">
    <w:name w:val="[Normal]"/>
    <w:rsid w:val="00D74727"/>
    <w:pPr>
      <w:widowControl w:val="0"/>
      <w:autoSpaceDE w:val="0"/>
      <w:autoSpaceDN w:val="0"/>
      <w:adjustRightInd w:val="0"/>
      <w:spacing w:after="0" w:line="240" w:lineRule="auto"/>
    </w:pPr>
    <w:rPr>
      <w:rFonts w:ascii="Arial" w:eastAsiaTheme="minorEastAsia" w:hAnsi="Arial" w:cs="Arial"/>
      <w:sz w:val="24"/>
      <w:szCs w:val="24"/>
    </w:rPr>
  </w:style>
  <w:style w:type="character" w:styleId="Hyperlink">
    <w:name w:val="Hyperlink"/>
    <w:basedOn w:val="DefaultParagraphFont"/>
    <w:uiPriority w:val="99"/>
    <w:semiHidden/>
    <w:unhideWhenUsed/>
    <w:rsid w:val="00D74727"/>
    <w:rPr>
      <w:color w:val="0000FF"/>
      <w:u w:val="single"/>
    </w:rPr>
  </w:style>
  <w:style w:type="paragraph" w:styleId="BalloonText">
    <w:name w:val="Balloon Text"/>
    <w:basedOn w:val="Normal"/>
    <w:link w:val="BalloonTextChar"/>
    <w:uiPriority w:val="99"/>
    <w:semiHidden/>
    <w:unhideWhenUsed/>
    <w:rsid w:val="00ED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3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and-innovation/sites/default/files/rio/report/SS%2520Georgia%2520-%2520Final%2520Report.pdf" TargetMode="External"/><Relationship Id="rId3" Type="http://schemas.openxmlformats.org/officeDocument/2006/relationships/webSettings" Target="webSettings.xml"/><Relationship Id="rId7" Type="http://schemas.openxmlformats.org/officeDocument/2006/relationships/hyperlink" Target="https://unece.org/sites/default/files/2021-05/ECE_CECI_2021_6_2103938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bank.org/en/country/georgia" TargetMode="External"/><Relationship Id="rId5" Type="http://schemas.openxmlformats.org/officeDocument/2006/relationships/hyperlink" Target="https://www.oecd.org/countries/georgia/education-in-eastern-europe-and-central-asia-ebeeb179-en.htm" TargetMode="External"/><Relationship Id="rId10" Type="http://schemas.openxmlformats.org/officeDocument/2006/relationships/theme" Target="theme/theme1.xml"/><Relationship Id="rId4" Type="http://schemas.openxmlformats.org/officeDocument/2006/relationships/hyperlink" Target="https://www.oecd.org/countries/georgia/oecd-reviews-of-evaluation-and-assessment-in-education-georgia-94dc370e-en.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Kopaleishvili</dc:creator>
  <cp:keywords/>
  <dc:description/>
  <cp:lastModifiedBy>განათლებისა და მეცნიერების სამინისტრო</cp:lastModifiedBy>
  <cp:revision>7</cp:revision>
  <cp:lastPrinted>2022-07-12T10:57:00Z</cp:lastPrinted>
  <dcterms:created xsi:type="dcterms:W3CDTF">2022-07-12T05:31:00Z</dcterms:created>
  <dcterms:modified xsi:type="dcterms:W3CDTF">2022-07-28T13:38:00Z</dcterms:modified>
</cp:coreProperties>
</file>